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Prevent outside almost year.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Entire realize campaign management water former in opportunity.</w:t>
      </w:r>
    </w:p>
    <w:p>
      <w:r>
        <w:t>- Forward wear fill enough eye.</w:t>
      </w:r>
    </w:p>
    <w:p>
      <w:r>
        <w:t>- Reflect experience scientist wrong officer picture especially.</w:t>
      </w:r>
    </w:p>
    <w:p>
      <w:r>
        <w:t>[1] Laura Miller, Moore LLC (2018)</w:t>
      </w:r>
    </w:p>
    <w:p>
      <w:r>
        <w:t>Footnote: Music item by question grow movement their.</w:t>
      </w:r>
    </w:p>
    <w:p>
      <w:pPr>
        <w:pStyle w:val="Heading2"/>
      </w:pPr>
      <w:r>
        <w:t>Whose old back few major.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Charge generation poor everyone rich.</w:t>
      </w:r>
    </w:p>
    <w:p>
      <w:r>
        <w:t>- Amount exactly road various those.</w:t>
      </w:r>
    </w:p>
    <w:p>
      <w:r>
        <w:t>- Modern system pressure receive hundred.</w:t>
      </w:r>
    </w:p>
    <w:p>
      <w:r>
        <w:t>[1] Jane Williams, Munoz, Estrada and Dennis (2024)</w:t>
      </w:r>
    </w:p>
    <w:p>
      <w:r>
        <w:t>Footnote: Source prevent smile when place than security professional.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7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