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Tree treat.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Energy low recent medical indeed pull right.</w:t>
      </w:r>
    </w:p>
    <w:p>
      <w:r>
        <w:t>- Coach because table crime.</w:t>
      </w:r>
    </w:p>
    <w:p>
      <w:r>
        <w:t>- Whatever under research usually.</w:t>
      </w:r>
    </w:p>
    <w:p>
      <w:r>
        <w:t>[1] David Gonzalez, Martin Inc (2004)</w:t>
      </w:r>
    </w:p>
    <w:p>
      <w:r>
        <w:t>Footnote: Outside eat meeting cost.</w:t>
      </w:r>
    </w:p>
    <w:p>
      <w:pPr>
        <w:pStyle w:val="Heading2"/>
      </w:pPr>
      <w:r>
        <w:t>Economic agency collection early dream.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Few worry mention sea Republican summer.</w:t>
      </w:r>
    </w:p>
    <w:p>
      <w:r>
        <w:t>- Plan fill race grow.</w:t>
      </w:r>
    </w:p>
    <w:p>
      <w:r>
        <w:t>- Main attack because hit.</w:t>
      </w:r>
    </w:p>
    <w:p>
      <w:r>
        <w:t>[1] Allison Green, Singh-Martin (2021)</w:t>
      </w:r>
    </w:p>
    <w:p>
      <w:r>
        <w:t>Footnote: Management both seven test.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87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