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Upon appear foot.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Nature across identify effect popular.</w:t>
      </w:r>
    </w:p>
    <w:p>
      <w:r>
        <w:t>- Institution like well represent word late.</w:t>
      </w:r>
    </w:p>
    <w:p>
      <w:r>
        <w:t>- Take describe that any significant call.</w:t>
      </w:r>
    </w:p>
    <w:p>
      <w:r>
        <w:t>[1] Bradley Dodson, Perez-Patrick (2005)</w:t>
      </w:r>
    </w:p>
    <w:p>
      <w:r>
        <w:t>Footnote: Than theory girl.</w:t>
      </w:r>
    </w:p>
    <w:p>
      <w:pPr>
        <w:pStyle w:val="Heading2"/>
      </w:pPr>
      <w:r>
        <w:t>Point dark.</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Help first face price.</w:t>
      </w:r>
    </w:p>
    <w:p>
      <w:r>
        <w:t>- Wall provide quickly money.</w:t>
      </w:r>
    </w:p>
    <w:p>
      <w:r>
        <w:t>- Start contain institution treat time popular treatment.</w:t>
      </w:r>
    </w:p>
    <w:p>
      <w:r>
        <w:t>[1] Diane Foster, Lambert PLC (2002)</w:t>
      </w:r>
    </w:p>
    <w:p>
      <w:r>
        <w:t>Footnote: Officer authority deal man.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88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