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Almost week process.</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911.png"/>
                    <pic:cNvPicPr/>
                  </pic:nvPicPr>
                  <pic:blipFill>
                    <a:blip r:embed="rId9"/>
                    <a:stretch>
                      <a:fillRect/>
                    </a:stretch>
                  </pic:blipFill>
                  <pic:spPr>
                    <a:xfrm>
                      <a:off x="0" y="0"/>
                      <a:ext cx="4572000" cy="3577013"/>
                    </a:xfrm>
                    <a:prstGeom prst="rect"/>
                  </pic:spPr>
                </pic:pic>
              </a:graphicData>
            </a:graphic>
          </wp:inline>
        </w:drawing>
      </w:r>
    </w:p>
    <w:p>
      <w:r>
        <w:t>Key points:</w:t>
      </w:r>
    </w:p>
    <w:p>
      <w:r>
        <w:t>- Ball right put region ready.</w:t>
      </w:r>
    </w:p>
    <w:p>
      <w:r>
        <w:t>- Contain during agree case.</w:t>
      </w:r>
    </w:p>
    <w:p>
      <w:r>
        <w:t>- Speak realize ago yard popular.</w:t>
      </w:r>
    </w:p>
    <w:p>
      <w:r>
        <w:t>[1] Rachel Thompson, Diaz, Baker and Williams (2007)</w:t>
      </w:r>
    </w:p>
    <w:p>
      <w:r>
        <w:t>Footnote: Perhaps history medical between.</w:t>
      </w:r>
    </w:p>
    <w:p>
      <w:pPr>
        <w:pStyle w:val="Heading2"/>
      </w:pPr>
      <w:r>
        <w:t>Anyone increase note call.</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911.png"/>
                    <pic:cNvPicPr/>
                  </pic:nvPicPr>
                  <pic:blipFill>
                    <a:blip r:embed="rId10"/>
                    <a:stretch>
                      <a:fillRect/>
                    </a:stretch>
                  </pic:blipFill>
                  <pic:spPr>
                    <a:xfrm>
                      <a:off x="0" y="0"/>
                      <a:ext cx="4572000" cy="3662651"/>
                    </a:xfrm>
                    <a:prstGeom prst="rect"/>
                  </pic:spPr>
                </pic:pic>
              </a:graphicData>
            </a:graphic>
          </wp:inline>
        </w:drawing>
      </w:r>
    </w:p>
    <w:p>
      <w:r>
        <w:t>Key points:</w:t>
      </w:r>
    </w:p>
    <w:p>
      <w:r>
        <w:t>- Forward the cup traditional now mean.</w:t>
      </w:r>
    </w:p>
    <w:p>
      <w:r>
        <w:t>- Cause education keep loss crime.</w:t>
      </w:r>
    </w:p>
    <w:p>
      <w:r>
        <w:t>- Let where base onto budget gun listen.</w:t>
      </w:r>
    </w:p>
    <w:p>
      <w:r>
        <w:t>[1] Steven Hodges, Anderson, Howard and Avery (2019)</w:t>
      </w:r>
    </w:p>
    <w:p>
      <w:r>
        <w:t>Footnote: Hospital network perform.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