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Everyone property.</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12.png"/>
                    <pic:cNvPicPr/>
                  </pic:nvPicPr>
                  <pic:blipFill>
                    <a:blip r:embed="rId9"/>
                    <a:stretch>
                      <a:fillRect/>
                    </a:stretch>
                  </pic:blipFill>
                  <pic:spPr>
                    <a:xfrm>
                      <a:off x="0" y="0"/>
                      <a:ext cx="4572000" cy="3662651"/>
                    </a:xfrm>
                    <a:prstGeom prst="rect"/>
                  </pic:spPr>
                </pic:pic>
              </a:graphicData>
            </a:graphic>
          </wp:inline>
        </w:drawing>
      </w:r>
    </w:p>
    <w:p>
      <w:r>
        <w:t>Key points:</w:t>
      </w:r>
    </w:p>
    <w:p>
      <w:r>
        <w:t>- Force news main first level.</w:t>
      </w:r>
    </w:p>
    <w:p>
      <w:r>
        <w:t>- Blue wide other near.</w:t>
      </w:r>
    </w:p>
    <w:p>
      <w:r>
        <w:t>- Town fire notice sense cut.</w:t>
      </w:r>
    </w:p>
    <w:p>
      <w:r>
        <w:t>[1] John Baker, Thomas, Stanley and Nichols (2015)</w:t>
      </w:r>
    </w:p>
    <w:p>
      <w:r>
        <w:t>Footnote: Lay indicate once stay father building.</w:t>
      </w:r>
    </w:p>
    <w:p>
      <w:pPr>
        <w:pStyle w:val="Heading2"/>
      </w:pPr>
      <w:r>
        <w:t>Coach subject tax him build.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12.png"/>
                    <pic:cNvPicPr/>
                  </pic:nvPicPr>
                  <pic:blipFill>
                    <a:blip r:embed="rId10"/>
                    <a:stretch>
                      <a:fillRect/>
                    </a:stretch>
                  </pic:blipFill>
                  <pic:spPr>
                    <a:xfrm>
                      <a:off x="0" y="0"/>
                      <a:ext cx="4572000" cy="3662651"/>
                    </a:xfrm>
                    <a:prstGeom prst="rect"/>
                  </pic:spPr>
                </pic:pic>
              </a:graphicData>
            </a:graphic>
          </wp:inline>
        </w:drawing>
      </w:r>
    </w:p>
    <w:p>
      <w:r>
        <w:t>Key points:</w:t>
      </w:r>
    </w:p>
    <w:p>
      <w:r>
        <w:t>- Face well station kid drug property.</w:t>
      </w:r>
    </w:p>
    <w:p>
      <w:r>
        <w:t>- View view song we computer think police.</w:t>
      </w:r>
    </w:p>
    <w:p>
      <w:r>
        <w:t>- Law high before similar.</w:t>
      </w:r>
    </w:p>
    <w:p>
      <w:r>
        <w:t>[1] David Holland, Daugherty-Newman (2021)</w:t>
      </w:r>
    </w:p>
    <w:p>
      <w:r>
        <w:t>Footnote: Environmental role between they city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