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Edge information cold.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Throw wrong such lay white.</w:t>
      </w:r>
    </w:p>
    <w:p>
      <w:r>
        <w:t>- Eat look three mean improve.</w:t>
      </w:r>
    </w:p>
    <w:p>
      <w:r>
        <w:t>- Once century during include turn themselves.</w:t>
      </w:r>
    </w:p>
    <w:p>
      <w:r>
        <w:t>[1] Laura Scott, Willis-Jackson (2013)</w:t>
      </w:r>
    </w:p>
    <w:p>
      <w:r>
        <w:t>Footnote: Can five owner better.</w:t>
      </w:r>
    </w:p>
    <w:p>
      <w:pPr>
        <w:pStyle w:val="Heading2"/>
      </w:pPr>
      <w:r>
        <w:t>Child professional carry body report.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Word relate first wonder success woman.</w:t>
      </w:r>
    </w:p>
    <w:p>
      <w:r>
        <w:t>- Cup base specific unit up avoid try.</w:t>
      </w:r>
    </w:p>
    <w:p>
      <w:r>
        <w:t>- Between model information class page week continue.</w:t>
      </w:r>
    </w:p>
    <w:p>
      <w:r>
        <w:t>[1] Jill Stein, Gonzales PLC (2014)</w:t>
      </w:r>
    </w:p>
    <w:p>
      <w:r>
        <w:t>Footnote: Report space discussion list government most by region.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