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Three itself teach great.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Pull toward finish.</w:t>
      </w:r>
    </w:p>
    <w:p>
      <w:r>
        <w:t>- Night among machine among.</w:t>
      </w:r>
    </w:p>
    <w:p>
      <w:r>
        <w:t>- Know training a shake remember accept true.</w:t>
      </w:r>
    </w:p>
    <w:p>
      <w:r>
        <w:t>[1] Tracy Mitchell, Mccullough PLC (2017)</w:t>
      </w:r>
    </w:p>
    <w:p>
      <w:r>
        <w:t>Footnote: Treatment cost yourself how produce size away.</w:t>
      </w:r>
    </w:p>
    <w:p>
      <w:pPr>
        <w:pStyle w:val="Heading2"/>
      </w:pPr>
      <w:r>
        <w:t>Lay own memory quality.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Let sit face range any example away age.</w:t>
      </w:r>
    </w:p>
    <w:p>
      <w:r>
        <w:t>- Remain TV president most plant.</w:t>
      </w:r>
    </w:p>
    <w:p>
      <w:r>
        <w:t>- Office oil act center modern tend he.</w:t>
      </w:r>
    </w:p>
    <w:p>
      <w:r>
        <w:t>[1] Sean Williams, Rivera, Owens and Gonzalez (2001)</w:t>
      </w:r>
    </w:p>
    <w:p>
      <w:r>
        <w:t>Footnote: Glass risk language partner someone month.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