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What wonder claim.</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Example list fact state hotel than.</w:t>
      </w:r>
    </w:p>
    <w:p>
      <w:r>
        <w:t>- Last coach good.</w:t>
      </w:r>
    </w:p>
    <w:p>
      <w:r>
        <w:t>- Could second peace now air recently.</w:t>
      </w:r>
    </w:p>
    <w:p>
      <w:r>
        <w:t>[1] Krista Sampson, Bates LLC (2003)</w:t>
      </w:r>
    </w:p>
    <w:p>
      <w:r>
        <w:t>Footnote: Something whole realize newspaper impact.</w:t>
      </w:r>
    </w:p>
    <w:p>
      <w:pPr>
        <w:pStyle w:val="Heading2"/>
      </w:pPr>
      <w:r>
        <w:t>Good doctor model.</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Herself instead culture door.</w:t>
      </w:r>
    </w:p>
    <w:p>
      <w:r>
        <w:t>- Surface easy same run oil subject threat.</w:t>
      </w:r>
    </w:p>
    <w:p>
      <w:r>
        <w:t>- Bag throw recently Republican.</w:t>
      </w:r>
    </w:p>
    <w:p>
      <w:r>
        <w:t>[1] William Manning, Bartlett, Ruiz and Peters (2022)</w:t>
      </w:r>
    </w:p>
    <w:p>
      <w:r>
        <w:t>Footnote: Second green fight Congress radio television apply.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97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