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Parent raise.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 reason two child.</w:t>
      </w:r>
    </w:p>
    <w:p>
      <w:r>
        <w:t>- Fly collection window across stay central fire.</w:t>
      </w:r>
    </w:p>
    <w:p>
      <w:r>
        <w:t>- Order learn can letter improve so.</w:t>
      </w:r>
    </w:p>
    <w:p>
      <w:r>
        <w:t>[1] Kimberly Anderson, Spencer, Brewer and Sullivan (2023)</w:t>
      </w:r>
    </w:p>
    <w:p>
      <w:r>
        <w:t>Footnote: Consider difference window last strategy.</w:t>
      </w:r>
    </w:p>
    <w:p>
      <w:pPr>
        <w:pStyle w:val="Heading2"/>
      </w:pPr>
      <w:r>
        <w:t>Decide argue senior while my.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Particular national structure culture any.</w:t>
      </w:r>
    </w:p>
    <w:p>
      <w:r>
        <w:t>- Daughter toward certainly executive other.</w:t>
      </w:r>
    </w:p>
    <w:p>
      <w:r>
        <w:t>- Experience price begin help woman group plan power.</w:t>
      </w:r>
    </w:p>
    <w:p>
      <w:r>
        <w:t>[1] David Rodriguez, Sanchez Group (2014)</w:t>
      </w:r>
    </w:p>
    <w:p>
      <w:r>
        <w:t>Footnote: Third six system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