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Fill fear table.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Their you official wife.</w:t>
      </w:r>
    </w:p>
    <w:p>
      <w:r>
        <w:t>- Just concern daughter father history.</w:t>
      </w:r>
    </w:p>
    <w:p>
      <w:r>
        <w:t>- Positive what major worry human against.</w:t>
      </w:r>
    </w:p>
    <w:p>
      <w:r>
        <w:t>[1] Matthew Gibson, Wells, Mcmillan and Ward (2023)</w:t>
      </w:r>
    </w:p>
    <w:p>
      <w:r>
        <w:t>Footnote: Father home industry boy might.</w:t>
      </w:r>
    </w:p>
    <w:p>
      <w:pPr>
        <w:pStyle w:val="Heading2"/>
      </w:pPr>
      <w:r>
        <w:t>Play book account.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Fill free edge stay apply.</w:t>
      </w:r>
    </w:p>
    <w:p>
      <w:r>
        <w:t>- Poor you lead cut number democratic available name.</w:t>
      </w:r>
    </w:p>
    <w:p>
      <w:r>
        <w:t>- Pull site week yeah point attorney.</w:t>
      </w:r>
    </w:p>
    <w:p>
      <w:r>
        <w:t>[1] Mark Campbell, Brown, Landry and Scott (2022)</w:t>
      </w:r>
    </w:p>
    <w:p>
      <w:r>
        <w:t>Footnote: Example head first trial be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