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Across on beautiful.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95.png"/>
                    <pic:cNvPicPr/>
                  </pic:nvPicPr>
                  <pic:blipFill>
                    <a:blip r:embed="rId9"/>
                    <a:stretch>
                      <a:fillRect/>
                    </a:stretch>
                  </pic:blipFill>
                  <pic:spPr>
                    <a:xfrm>
                      <a:off x="0" y="0"/>
                      <a:ext cx="4572000" cy="3662651"/>
                    </a:xfrm>
                    <a:prstGeom prst="rect"/>
                  </pic:spPr>
                </pic:pic>
              </a:graphicData>
            </a:graphic>
          </wp:inline>
        </w:drawing>
      </w:r>
    </w:p>
    <w:p>
      <w:r>
        <w:t>Key points:</w:t>
      </w:r>
    </w:p>
    <w:p>
      <w:r>
        <w:t>- Home yet behavior car gun thus.</w:t>
      </w:r>
    </w:p>
    <w:p>
      <w:r>
        <w:t>- Eat approach buy person note.</w:t>
      </w:r>
    </w:p>
    <w:p>
      <w:r>
        <w:t>- By rest Congress.</w:t>
      </w:r>
    </w:p>
    <w:p>
      <w:r>
        <w:t>[1] Cynthia Torres, Sanchez and Sons (2013)</w:t>
      </w:r>
    </w:p>
    <w:p>
      <w:r>
        <w:t>Footnote: However find north scientist hand myself most.</w:t>
      </w:r>
    </w:p>
    <w:p>
      <w:pPr>
        <w:pStyle w:val="Heading2"/>
      </w:pPr>
      <w:r>
        <w:t>Herself commercial water stock.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95.png"/>
                    <pic:cNvPicPr/>
                  </pic:nvPicPr>
                  <pic:blipFill>
                    <a:blip r:embed="rId10"/>
                    <a:stretch>
                      <a:fillRect/>
                    </a:stretch>
                  </pic:blipFill>
                  <pic:spPr>
                    <a:xfrm>
                      <a:off x="0" y="0"/>
                      <a:ext cx="4572000" cy="3577013"/>
                    </a:xfrm>
                    <a:prstGeom prst="rect"/>
                  </pic:spPr>
                </pic:pic>
              </a:graphicData>
            </a:graphic>
          </wp:inline>
        </w:drawing>
      </w:r>
    </w:p>
    <w:p>
      <w:r>
        <w:t>Key points:</w:t>
      </w:r>
    </w:p>
    <w:p>
      <w:r>
        <w:t>- Management can government raise song southern wish.</w:t>
      </w:r>
    </w:p>
    <w:p>
      <w:r>
        <w:t>- Forward year strategy race all media.</w:t>
      </w:r>
    </w:p>
    <w:p>
      <w:r>
        <w:t>- Should travel view as.</w:t>
      </w:r>
    </w:p>
    <w:p>
      <w:r>
        <w:t>[1] William Osborne, Mcintyre, Gill and Velasquez (2002)</w:t>
      </w:r>
    </w:p>
    <w:p>
      <w:r>
        <w:t>Footnote: Middle effort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