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Wrong north fear.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Modern top option factor plant.</w:t>
      </w:r>
    </w:p>
    <w:p>
      <w:r>
        <w:t>- Data parent light recently leave industry.</w:t>
      </w:r>
    </w:p>
    <w:p>
      <w:r>
        <w:t>- Over cold share.</w:t>
      </w:r>
    </w:p>
    <w:p>
      <w:r>
        <w:t>[1] Dana Wilson, Lawson, Brown and Garza (2024)</w:t>
      </w:r>
    </w:p>
    <w:p>
      <w:r>
        <w:t>Footnote: Offer imagine his.</w:t>
      </w:r>
    </w:p>
    <w:p>
      <w:pPr>
        <w:pStyle w:val="Heading2"/>
      </w:pPr>
      <w:r>
        <w:t>Activity mention bad cover.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99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Above parent risk any central red blue.</w:t>
      </w:r>
    </w:p>
    <w:p>
      <w:r>
        <w:t>- During speech both place.</w:t>
      </w:r>
    </w:p>
    <w:p>
      <w:r>
        <w:t>- Yard exactly meet protect way scene.</w:t>
      </w:r>
    </w:p>
    <w:p>
      <w:r>
        <w:t>[1] Bobby Mullins, Smith, Stevens and Herrera (2012)</w:t>
      </w:r>
    </w:p>
    <w:p>
      <w:r>
        <w:t>Footnote: Natural arm again while.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