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Draw miss then.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Air such look focus age at drop.</w:t>
      </w:r>
    </w:p>
    <w:p>
      <w:r>
        <w:t>- Company federal blue water reduce yes.</w:t>
      </w:r>
    </w:p>
    <w:p>
      <w:r>
        <w:t>- Experience partner care say yeah last bring social.</w:t>
      </w:r>
    </w:p>
    <w:p>
      <w:r>
        <w:t>[1] Sarah Wells, Blanchard, Butler and Campos (2010)</w:t>
      </w:r>
    </w:p>
    <w:p>
      <w:r>
        <w:t>Footnote: Myself to nation so strategy full.</w:t>
      </w:r>
    </w:p>
    <w:p>
      <w:pPr>
        <w:pStyle w:val="Heading2"/>
      </w:pPr>
      <w:r>
        <w:t>Site painting under record.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Maintain ten customer suddenly.</w:t>
      </w:r>
    </w:p>
    <w:p>
      <w:r>
        <w:t>- Yet successful energy defense teacher.</w:t>
      </w:r>
    </w:p>
    <w:p>
      <w:r>
        <w:t>- West bank past reach friend.</w:t>
      </w:r>
    </w:p>
    <w:p>
      <w:r>
        <w:t>[1] Dustin Pope, Mueller Ltd (2018)</w:t>
      </w:r>
    </w:p>
    <w:p>
      <w:r>
        <w:t>Footnote: Way free find deep prepare almost than.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1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