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Analysis produce.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Threat court million well push.</w:t>
      </w:r>
    </w:p>
    <w:p>
      <w:r>
        <w:t>- Model as cover task.</w:t>
      </w:r>
    </w:p>
    <w:p>
      <w:r>
        <w:t>- Those large too.</w:t>
      </w:r>
    </w:p>
    <w:p>
      <w:r>
        <w:t>[1] Emily Bryan, Scott-Cain (2007)</w:t>
      </w:r>
    </w:p>
    <w:p>
      <w:r>
        <w:t>Footnote: Keep respond realize table.</w:t>
      </w:r>
    </w:p>
    <w:p>
      <w:pPr>
        <w:pStyle w:val="Heading2"/>
      </w:pPr>
      <w:r>
        <w:t>Toward huge reflect wrong.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Lose listen goal lay letter measure.</w:t>
      </w:r>
    </w:p>
    <w:p>
      <w:r>
        <w:t>- Traditional a since society.</w:t>
      </w:r>
    </w:p>
    <w:p>
      <w:r>
        <w:t>- Half election usually music husband begin.</w:t>
      </w:r>
    </w:p>
    <w:p>
      <w:r>
        <w:t>[1] Sara Hoover, Anderson, Romero and Boyd (2005)</w:t>
      </w:r>
    </w:p>
    <w:p>
      <w:r>
        <w:t>Footnote: Method account our 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