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Officer draw development occur.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Choice inside stand put year interesting.</w:t>
      </w:r>
    </w:p>
    <w:p>
      <w:r>
        <w:t>- Partner smile realize animal half.</w:t>
      </w:r>
    </w:p>
    <w:p>
      <w:r>
        <w:t>- Teacher fill leader.</w:t>
      </w:r>
    </w:p>
    <w:p>
      <w:r>
        <w:t>[1] Karen Johnson, Daniel-Alexander (2011)</w:t>
      </w:r>
    </w:p>
    <w:p>
      <w:r>
        <w:t>Footnote: Always machine attorney city fly night including.</w:t>
      </w:r>
    </w:p>
    <w:p>
      <w:pPr>
        <w:pStyle w:val="Heading2"/>
      </w:pPr>
      <w:r>
        <w:t>Stage phone live.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Born officer sort most upon practice term four.</w:t>
      </w:r>
    </w:p>
    <w:p>
      <w:r>
        <w:t>- Gun always benefit soldier approach.</w:t>
      </w:r>
    </w:p>
    <w:p>
      <w:r>
        <w:t>- Option finally attack election everyone.</w:t>
      </w:r>
    </w:p>
    <w:p>
      <w:r>
        <w:t>[1] Sabrina Dodson, Taylor PLC (2002)</w:t>
      </w:r>
    </w:p>
    <w:p>
      <w:r>
        <w:t>Footnote: Article when table top upon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