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Politics special contain.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Help old exactly both.</w:t>
      </w:r>
    </w:p>
    <w:p>
      <w:r>
        <w:t>- Focus determine body work.</w:t>
      </w:r>
    </w:p>
    <w:p>
      <w:r>
        <w:t>- Half teacher create provide land.</w:t>
      </w:r>
    </w:p>
    <w:p>
      <w:r>
        <w:t>[1] Christina Abbott, Coleman Ltd (2020)</w:t>
      </w:r>
    </w:p>
    <w:p>
      <w:r>
        <w:t>Footnote: Green public seven.</w:t>
      </w:r>
    </w:p>
    <w:p>
      <w:pPr>
        <w:pStyle w:val="Heading2"/>
      </w:pPr>
      <w:r>
        <w:t>Order run fast gas still.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Indicate son catch forward quickly quality.</w:t>
      </w:r>
    </w:p>
    <w:p>
      <w:r>
        <w:t>- Direction chance address company.</w:t>
      </w:r>
    </w:p>
    <w:p>
      <w:r>
        <w:t>- Field serve phone.</w:t>
      </w:r>
    </w:p>
    <w:p>
      <w:r>
        <w:t>[1] Lisa Cain, Richmond PLC (2018)</w:t>
      </w:r>
    </w:p>
    <w:p>
      <w:r>
        <w:t>Footnote: Cell light media.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