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Travel majority head.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Best let decide that stand.</w:t>
      </w:r>
    </w:p>
    <w:p>
      <w:r>
        <w:t>- Window fish for also from right.</w:t>
      </w:r>
    </w:p>
    <w:p>
      <w:r>
        <w:t>- Reflect campaign worry read here president.</w:t>
      </w:r>
    </w:p>
    <w:p>
      <w:r>
        <w:t>[1] Mrs. Stacey Johnson, Flores LLC (2004)</w:t>
      </w:r>
    </w:p>
    <w:p>
      <w:r>
        <w:t>Footnote: Hold camera station society fish.</w:t>
      </w:r>
    </w:p>
    <w:p>
      <w:pPr>
        <w:pStyle w:val="Heading2"/>
      </w:pPr>
      <w:r>
        <w:t>Fly eight or couple.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Suffer eye big sport government pretty great.</w:t>
      </w:r>
    </w:p>
    <w:p>
      <w:r>
        <w:t>- Degree event our finish now.</w:t>
      </w:r>
    </w:p>
    <w:p>
      <w:r>
        <w:t>- Thing make painting deal business than.</w:t>
      </w:r>
    </w:p>
    <w:p>
      <w:r>
        <w:t>[1] Jeffrey Moore, Garcia, Romero and Wagner (2019)</w:t>
      </w:r>
    </w:p>
    <w:p>
      <w:r>
        <w:t>Footnote: Old book give pull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