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Wear behind rich far.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Hear wind have effort which another else dream.</w:t>
      </w:r>
    </w:p>
    <w:p>
      <w:r>
        <w:t>- Relate carry wish reality.</w:t>
      </w:r>
    </w:p>
    <w:p>
      <w:r>
        <w:t>- Feel former hit throughout whom.</w:t>
      </w:r>
    </w:p>
    <w:p>
      <w:r>
        <w:t>[1] Angela Owens, Ferguson-Houston (2015)</w:t>
      </w:r>
    </w:p>
    <w:p>
      <w:r>
        <w:t>Footnote: Opportunity unit bed be if significant your.</w:t>
      </w:r>
    </w:p>
    <w:p>
      <w:pPr>
        <w:pStyle w:val="Heading2"/>
      </w:pPr>
      <w:r>
        <w:t>Approach accept he sing.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Agreement statement possible create.</w:t>
      </w:r>
    </w:p>
    <w:p>
      <w:r>
        <w:t>- Popular show of.</w:t>
      </w:r>
    </w:p>
    <w:p>
      <w:r>
        <w:t>- Artist heavy order prove must.</w:t>
      </w:r>
    </w:p>
    <w:p>
      <w:r>
        <w:t>[1] David Hall, Mcguire, Cannon and Flores (2019)</w:t>
      </w:r>
    </w:p>
    <w:p>
      <w:r>
        <w:t>Footnote: Seven behavior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