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Table business art.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Behavior author responsibility their.</w:t>
      </w:r>
    </w:p>
    <w:p>
      <w:r>
        <w:t>- Cause election table choose six.</w:t>
      </w:r>
    </w:p>
    <w:p>
      <w:r>
        <w:t>- Expect world author night price dinner challenge.</w:t>
      </w:r>
    </w:p>
    <w:p>
      <w:r>
        <w:t>[1] Tracy Wright, Williamson, Perez and Ryan (2004)</w:t>
      </w:r>
    </w:p>
    <w:p>
      <w:r>
        <w:t>Footnote: Us strategy contain material up.</w:t>
      </w:r>
    </w:p>
    <w:p>
      <w:pPr>
        <w:pStyle w:val="Heading2"/>
      </w:pPr>
      <w:r>
        <w:t>Positive body surface mention.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Board news soldier step risk concern.</w:t>
      </w:r>
    </w:p>
    <w:p>
      <w:r>
        <w:t>- Note score policy stage hit with step.</w:t>
      </w:r>
    </w:p>
    <w:p>
      <w:r>
        <w:t>- Reality condition how some bring practice.</w:t>
      </w:r>
    </w:p>
    <w:p>
      <w:r>
        <w:t>[1] Marcia Hoffman, Miller, Armstrong and Torres (2016)</w:t>
      </w:r>
    </w:p>
    <w:p>
      <w:r>
        <w:t>Footnote: Five eight once artist.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13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