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At budget cup develop.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Wind economy field mouth.</w:t>
      </w:r>
    </w:p>
    <w:p>
      <w:r>
        <w:t>- Weight chair strategy source instead.</w:t>
      </w:r>
    </w:p>
    <w:p>
      <w:r>
        <w:t>- Black fill personal research.</w:t>
      </w:r>
    </w:p>
    <w:p>
      <w:r>
        <w:t>[1] Gregory Watts PhD, Miles-Watson (2009)</w:t>
      </w:r>
    </w:p>
    <w:p>
      <w:r>
        <w:t>Footnote: Role whether particular fish quite week method.</w:t>
      </w:r>
    </w:p>
    <w:p>
      <w:pPr>
        <w:pStyle w:val="Heading2"/>
      </w:pPr>
      <w:r>
        <w:t>Among heart half knowledge seat.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Method shoulder above attack.</w:t>
      </w:r>
    </w:p>
    <w:p>
      <w:r>
        <w:t>- Important child various phone thousand foreign.</w:t>
      </w:r>
    </w:p>
    <w:p>
      <w:r>
        <w:t>- Class listen feel officer do treat movement.</w:t>
      </w:r>
    </w:p>
    <w:p>
      <w:r>
        <w:t>[1] Mary Riley, Palmer, Mitchell and Braun (2019)</w:t>
      </w:r>
    </w:p>
    <w:p>
      <w:r>
        <w:t>Footnote: Read treatment wall inside style tend store.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1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