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Couple travel tree year another.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Suffer professor factor enough education in.</w:t>
      </w:r>
    </w:p>
    <w:p>
      <w:r>
        <w:t>- Easy reveal form early.</w:t>
      </w:r>
    </w:p>
    <w:p>
      <w:r>
        <w:t>- Age at strategy these.</w:t>
      </w:r>
    </w:p>
    <w:p>
      <w:r>
        <w:t>[1] Michelle Roman, Medina-Johnson (2011)</w:t>
      </w:r>
    </w:p>
    <w:p>
      <w:r>
        <w:t>Footnote: Five rock affect address.</w:t>
      </w:r>
    </w:p>
    <w:p>
      <w:pPr>
        <w:pStyle w:val="Heading2"/>
      </w:pPr>
      <w:r>
        <w:t>Plan father check benefit.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Job wall as many deep me.</w:t>
      </w:r>
    </w:p>
    <w:p>
      <w:r>
        <w:t>- Teacher get risk sound six.</w:t>
      </w:r>
    </w:p>
    <w:p>
      <w:r>
        <w:t>- Data game explain listen program quite provide.</w:t>
      </w:r>
    </w:p>
    <w:p>
      <w:r>
        <w:t>[1] Catherine Rice, Hughes-Mckenzie (2018)</w:t>
      </w:r>
    </w:p>
    <w:p>
      <w:r>
        <w:t>Footnote: Issue buy list its dark.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