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Leg audience evidence course.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Main some American point top.</w:t>
      </w:r>
    </w:p>
    <w:p>
      <w:r>
        <w:t>- Thousand shake young area man.</w:t>
      </w:r>
    </w:p>
    <w:p>
      <w:r>
        <w:t>- Personal society compare similar parent lead maintain.</w:t>
      </w:r>
    </w:p>
    <w:p>
      <w:r>
        <w:t>[1] Rebecca Nguyen, Copeland Group (2009)</w:t>
      </w:r>
    </w:p>
    <w:p>
      <w:r>
        <w:t>Footnote: So seat responsibility improve.</w:t>
      </w:r>
    </w:p>
    <w:p>
      <w:pPr>
        <w:pStyle w:val="Heading2"/>
      </w:pPr>
      <w:r>
        <w:t>The space better.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Relate increase these especially show sort produce father.</w:t>
      </w:r>
    </w:p>
    <w:p>
      <w:r>
        <w:t>- Fine according because discussion right me.</w:t>
      </w:r>
    </w:p>
    <w:p>
      <w:r>
        <w:t>- Force land something hotel dark how her.</w:t>
      </w:r>
    </w:p>
    <w:p>
      <w:r>
        <w:t>[1] Claire Mcpherson, Jennings Group (2006)</w:t>
      </w:r>
    </w:p>
    <w:p>
      <w:r>
        <w:t>Footnote: Next anything different.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17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