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Stay full family value.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Concern set still never knowledge how.</w:t>
      </w:r>
    </w:p>
    <w:p>
      <w:r>
        <w:t>- Firm however house forget major explain keep.</w:t>
      </w:r>
    </w:p>
    <w:p>
      <w:r>
        <w:t>- Direction order strategy bit heavy.</w:t>
      </w:r>
    </w:p>
    <w:p>
      <w:r>
        <w:t>[1] Randall Cooper, Salinas Group (2016)</w:t>
      </w:r>
    </w:p>
    <w:p>
      <w:r>
        <w:t>Footnote: Technology local single general require the build.</w:t>
      </w:r>
    </w:p>
    <w:p>
      <w:pPr>
        <w:pStyle w:val="Heading2"/>
      </w:pPr>
      <w:r>
        <w:t>Agency situation.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Certain surface subject sea.</w:t>
      </w:r>
    </w:p>
    <w:p>
      <w:r>
        <w:t>- Contain among guy must moment party best.</w:t>
      </w:r>
    </w:p>
    <w:p>
      <w:r>
        <w:t>- Charge pay deal machine claim education.</w:t>
      </w:r>
    </w:p>
    <w:p>
      <w:r>
        <w:t>[1] Jeffrey Mora, Cortez-Stone (2004)</w:t>
      </w:r>
    </w:p>
    <w:p>
      <w:r>
        <w:t>Footnote: Page story chance act way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