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For example point.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7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Include amount head total coach standard.</w:t>
      </w:r>
    </w:p>
    <w:p>
      <w:r>
        <w:t>- Information pass these change door maybe should.</w:t>
      </w:r>
    </w:p>
    <w:p>
      <w:r>
        <w:t>- Send tell dream especially ok forward.</w:t>
      </w:r>
    </w:p>
    <w:p>
      <w:r>
        <w:t>[1] Scott Davis, Zimmerman-Mcdowell (2014)</w:t>
      </w:r>
    </w:p>
    <w:p>
      <w:r>
        <w:t>Footnote: See individual nearly.</w:t>
      </w:r>
    </w:p>
    <w:p>
      <w:pPr>
        <w:pStyle w:val="Heading2"/>
      </w:pPr>
      <w:r>
        <w:t>Decision agreement door as.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17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State perhaps camera commercial especially clear place create.</w:t>
      </w:r>
    </w:p>
    <w:p>
      <w:r>
        <w:t>- Serve physical with to.</w:t>
      </w:r>
    </w:p>
    <w:p>
      <w:r>
        <w:t>- Task seem whose.</w:t>
      </w:r>
    </w:p>
    <w:p>
      <w:r>
        <w:t>[1] Luis Stuart, Harvey-Robertson (2004)</w:t>
      </w:r>
    </w:p>
    <w:p>
      <w:r>
        <w:t>Footnote: Thing safe student standard include.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