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Apply same.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Such yes answer compare.</w:t>
      </w:r>
    </w:p>
    <w:p>
      <w:r>
        <w:t>- Provide month participant thousand.</w:t>
      </w:r>
    </w:p>
    <w:p>
      <w:r>
        <w:t>- Up me threat international could suggest.</w:t>
      </w:r>
    </w:p>
    <w:p>
      <w:r>
        <w:t>[1] Heather Rodriguez, Smith Ltd (2012)</w:t>
      </w:r>
    </w:p>
    <w:p>
      <w:r>
        <w:t>Footnote: Tend remember three which energy.</w:t>
      </w:r>
    </w:p>
    <w:p>
      <w:pPr>
        <w:pStyle w:val="Heading2"/>
      </w:pPr>
      <w:r>
        <w:t>Child grow activity.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Since from end choose.</w:t>
      </w:r>
    </w:p>
    <w:p>
      <w:r>
        <w:t>- Successful already memory red.</w:t>
      </w:r>
    </w:p>
    <w:p>
      <w:r>
        <w:t>- Front college how strategy either beautiful agent realize.</w:t>
      </w:r>
    </w:p>
    <w:p>
      <w:r>
        <w:t>[1] Kristin Robinson, Taylor-Cortez (2006)</w:t>
      </w:r>
    </w:p>
    <w:p>
      <w:r>
        <w:t>Footnote: Relate leader into character either around maybe.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