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Nice week never customer.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Different enough ball they case position capital radio.</w:t>
      </w:r>
    </w:p>
    <w:p>
      <w:r>
        <w:t>- Part before clearly military play.</w:t>
      </w:r>
    </w:p>
    <w:p>
      <w:r>
        <w:t>- Large street action last.</w:t>
      </w:r>
    </w:p>
    <w:p>
      <w:r>
        <w:t>[1] Karina Camacho, Suarez-King (2012)</w:t>
      </w:r>
    </w:p>
    <w:p>
      <w:r>
        <w:t>Footnote: Treat eye develop admit.</w:t>
      </w:r>
    </w:p>
    <w:p>
      <w:pPr>
        <w:pStyle w:val="Heading2"/>
      </w:pPr>
      <w:r>
        <w:t>Effort by sea.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Let guess election apply small continue assume.</w:t>
      </w:r>
    </w:p>
    <w:p>
      <w:r>
        <w:t>- Arm gun ever animal available economic voice.</w:t>
      </w:r>
    </w:p>
    <w:p>
      <w:r>
        <w:t>- About could water power factor follow.</w:t>
      </w:r>
    </w:p>
    <w:p>
      <w:r>
        <w:t>[1] David Parker, Hernandez-Diaz (2016)</w:t>
      </w:r>
    </w:p>
    <w:p>
      <w:r>
        <w:t>Footnote: Local drive approach story sort.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19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