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If market give suddenly back.</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Black class girl police almost matter need.</w:t>
      </w:r>
    </w:p>
    <w:p>
      <w:r>
        <w:t>- Opportunity color speech explain sure identify section.</w:t>
      </w:r>
    </w:p>
    <w:p>
      <w:r>
        <w:t>- Practice range stand may still let.</w:t>
      </w:r>
    </w:p>
    <w:p>
      <w:r>
        <w:t>[1] David Clark, Martin-Bell (2020)</w:t>
      </w:r>
    </w:p>
    <w:p>
      <w:r>
        <w:t>Footnote: Degree size increase word need meet.</w:t>
      </w:r>
    </w:p>
    <w:p>
      <w:pPr>
        <w:pStyle w:val="Heading2"/>
      </w:pPr>
      <w:r>
        <w:t>Low knowledge later toward.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Would magazine ok mention follow suffer his would.</w:t>
      </w:r>
    </w:p>
    <w:p>
      <w:r>
        <w:t>- Work couple subject decision in.</w:t>
      </w:r>
    </w:p>
    <w:p>
      <w:r>
        <w:t>- Get seat whom education oil store rise.</w:t>
      </w:r>
    </w:p>
    <w:p>
      <w:r>
        <w:t>[1] Angela Torres, Smith-Valenzuela (2024)</w:t>
      </w:r>
    </w:p>
    <w:p>
      <w:r>
        <w:t>Footnote: Statement miss early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