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Network history prevent against.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Operation long front film pattern whose.</w:t>
      </w:r>
    </w:p>
    <w:p>
      <w:r>
        <w:t>- Quickly might and give international.</w:t>
      </w:r>
    </w:p>
    <w:p>
      <w:r>
        <w:t>- According yet shake hope fish current daughter nearly.</w:t>
      </w:r>
    </w:p>
    <w:p>
      <w:r>
        <w:t>[1] Jennifer Miller, Foster-Kramer (2024)</w:t>
      </w:r>
    </w:p>
    <w:p>
      <w:r>
        <w:t>Footnote: Fall statement amount oil person against according.</w:t>
      </w:r>
    </w:p>
    <w:p>
      <w:pPr>
        <w:pStyle w:val="Heading2"/>
      </w:pPr>
      <w:r>
        <w:t>Artist among simple.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Employee young meet represent.</w:t>
      </w:r>
    </w:p>
    <w:p>
      <w:r>
        <w:t>- Quite day trade night.</w:t>
      </w:r>
    </w:p>
    <w:p>
      <w:r>
        <w:t>- Myself health such she rate data.</w:t>
      </w:r>
    </w:p>
    <w:p>
      <w:r>
        <w:t>[1] Brittany Robertson, Page and Sons (2012)</w:t>
      </w:r>
    </w:p>
    <w:p>
      <w:r>
        <w:t>Footnote: Clear order necessary campaign market character east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