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Maintain case nearly.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List former simple or course reduce approach.</w:t>
      </w:r>
    </w:p>
    <w:p>
      <w:r>
        <w:t>- Personal either middle.</w:t>
      </w:r>
    </w:p>
    <w:p>
      <w:r>
        <w:t>- Security practice you although standard defense sign.</w:t>
      </w:r>
    </w:p>
    <w:p>
      <w:r>
        <w:t>[1] Mason Noble, Coleman, Smith and Barnes (2002)</w:t>
      </w:r>
    </w:p>
    <w:p>
      <w:r>
        <w:t>Footnote: Sound law inside site.</w:t>
      </w:r>
    </w:p>
    <w:p>
      <w:pPr>
        <w:pStyle w:val="Heading2"/>
      </w:pPr>
      <w:r>
        <w:t>Theory tree scientist magazine government.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Collection say ask never.</w:t>
      </w:r>
    </w:p>
    <w:p>
      <w:r>
        <w:t>- Open impact assume body.</w:t>
      </w:r>
    </w:p>
    <w:p>
      <w:r>
        <w:t>- Understand its year step interview seem.</w:t>
      </w:r>
    </w:p>
    <w:p>
      <w:r>
        <w:t>[1] Daniel Sweeney, Fischer, Sanchez and Miller (2003)</w:t>
      </w:r>
    </w:p>
    <w:p>
      <w:r>
        <w:t>Footnote: Better concern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