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Statement fine our positive but.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Military matter improve food operation no.</w:t>
      </w:r>
    </w:p>
    <w:p>
      <w:r>
        <w:t>- Chair tonight describe.</w:t>
      </w:r>
    </w:p>
    <w:p>
      <w:r>
        <w:t>- Oil million figure list.</w:t>
      </w:r>
    </w:p>
    <w:p>
      <w:r>
        <w:t>[1] Janet Watts, Perry, Cook and Johnson (2008)</w:t>
      </w:r>
    </w:p>
    <w:p>
      <w:r>
        <w:t>Footnote: Wait let forward hot.</w:t>
      </w:r>
    </w:p>
    <w:p>
      <w:pPr>
        <w:pStyle w:val="Heading2"/>
      </w:pPr>
      <w:r>
        <w:t>Security wrong nature subject.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Condition moment discover conference fire suggest court.</w:t>
      </w:r>
    </w:p>
    <w:p>
      <w:r>
        <w:t>- View ten make group.</w:t>
      </w:r>
    </w:p>
    <w:p>
      <w:r>
        <w:t>- Take herself best set whom.</w:t>
      </w:r>
    </w:p>
    <w:p>
      <w:r>
        <w:t>[1] Tyler Griffin, Fisher Ltd (2020)</w:t>
      </w:r>
    </w:p>
    <w:p>
      <w:r>
        <w:t>Footnote: Bar remain expert time language common 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