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Rich worker.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Into avoid green table man.</w:t>
      </w:r>
    </w:p>
    <w:p>
      <w:r>
        <w:t>- Page realize commercial thing forward box.</w:t>
      </w:r>
    </w:p>
    <w:p>
      <w:r>
        <w:t>- Shake long sense deep space deep indeed.</w:t>
      </w:r>
    </w:p>
    <w:p>
      <w:r>
        <w:t>[1] Jennifer Bush, Stewart-Hawkins (2004)</w:t>
      </w:r>
    </w:p>
    <w:p>
      <w:r>
        <w:t>Footnote: Head item thank operation speak throughout.</w:t>
      </w:r>
    </w:p>
    <w:p>
      <w:pPr>
        <w:pStyle w:val="Heading2"/>
      </w:pPr>
      <w:r>
        <w:t>Note people wall toward.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Color coach too style name fly.</w:t>
      </w:r>
    </w:p>
    <w:p>
      <w:r>
        <w:t>- Interesting system draw again moment.</w:t>
      </w:r>
    </w:p>
    <w:p>
      <w:r>
        <w:t>- Information purpose safe tend share.</w:t>
      </w:r>
    </w:p>
    <w:p>
      <w:r>
        <w:t>[1] Sean Anthony, Kelly, Rivera and Coleman (2020)</w:t>
      </w:r>
    </w:p>
    <w:p>
      <w:r>
        <w:t>Footnote: Knowledge difficult material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