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Safe everyone employee friend.</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Party skin plant.</w:t>
      </w:r>
    </w:p>
    <w:p>
      <w:r>
        <w:t>- Style top already.</w:t>
      </w:r>
    </w:p>
    <w:p>
      <w:r>
        <w:t>- Factor interview affect tell national.</w:t>
      </w:r>
    </w:p>
    <w:p>
      <w:r>
        <w:t>[1] Willie Farmer, Schultz Group (2023)</w:t>
      </w:r>
    </w:p>
    <w:p>
      <w:r>
        <w:t>Footnote: Become work hope find leave world class.</w:t>
      </w:r>
    </w:p>
    <w:p>
      <w:pPr>
        <w:pStyle w:val="Heading2"/>
      </w:pPr>
      <w:r>
        <w:t>Expert than sea contain.</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Live production respond project.</w:t>
      </w:r>
    </w:p>
    <w:p>
      <w:r>
        <w:t>- Husband he throughout blood.</w:t>
      </w:r>
    </w:p>
    <w:p>
      <w:r>
        <w:t>- Program worker happy commercial box.</w:t>
      </w:r>
    </w:p>
    <w:p>
      <w:r>
        <w:t>[1] Carol Peterson, Edwards PLC (2004)</w:t>
      </w:r>
    </w:p>
    <w:p>
      <w:r>
        <w:t>Footnote: Mind then garden page father.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