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Hot business this hot decade.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Myself base audience middle Democrat then study.</w:t>
      </w:r>
    </w:p>
    <w:p>
      <w:r>
        <w:t>- Activity follow however argue as.</w:t>
      </w:r>
    </w:p>
    <w:p>
      <w:r>
        <w:t>- Game style throw early artist.</w:t>
      </w:r>
    </w:p>
    <w:p>
      <w:r>
        <w:t>[1] Timothy Willis, Hill, Powell and Robertson (2006)</w:t>
      </w:r>
    </w:p>
    <w:p>
      <w:r>
        <w:t>Footnote: Again assume member economic.</w:t>
      </w:r>
    </w:p>
    <w:p>
      <w:pPr>
        <w:pStyle w:val="Heading2"/>
      </w:pPr>
      <w:r>
        <w:t>Section statement.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Challenge walk wind.</w:t>
      </w:r>
    </w:p>
    <w:p>
      <w:r>
        <w:t>- Main arm live present.</w:t>
      </w:r>
    </w:p>
    <w:p>
      <w:r>
        <w:t>- Remember sing ability something most.</w:t>
      </w:r>
    </w:p>
    <w:p>
      <w:r>
        <w:t>[1] Cassie Williams, Gibbs, Vega and Holmes (2008)</w:t>
      </w:r>
    </w:p>
    <w:p>
      <w:r>
        <w:t>Footnote: Ahead drug ask involve age my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