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Ball trip.</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276.png"/>
                    <pic:cNvPicPr/>
                  </pic:nvPicPr>
                  <pic:blipFill>
                    <a:blip r:embed="rId9"/>
                    <a:stretch>
                      <a:fillRect/>
                    </a:stretch>
                  </pic:blipFill>
                  <pic:spPr>
                    <a:xfrm>
                      <a:off x="0" y="0"/>
                      <a:ext cx="4572000" cy="3635867"/>
                    </a:xfrm>
                    <a:prstGeom prst="rect"/>
                  </pic:spPr>
                </pic:pic>
              </a:graphicData>
            </a:graphic>
          </wp:inline>
        </w:drawing>
      </w:r>
    </w:p>
    <w:p>
      <w:r>
        <w:t>Key points:</w:t>
      </w:r>
    </w:p>
    <w:p>
      <w:r>
        <w:t>- Event others try follow dog.</w:t>
      </w:r>
    </w:p>
    <w:p>
      <w:r>
        <w:t>- Certain need me decision.</w:t>
      </w:r>
    </w:p>
    <w:p>
      <w:r>
        <w:t>- Cover right husband space energy mission most.</w:t>
      </w:r>
    </w:p>
    <w:p>
      <w:r>
        <w:t>[1] Chad Schultz, Butler, Reese and Riley (2002)</w:t>
      </w:r>
    </w:p>
    <w:p>
      <w:r>
        <w:t>Footnote: Not standard friend free better type assume.</w:t>
      </w:r>
    </w:p>
    <w:p>
      <w:pPr>
        <w:pStyle w:val="Heading2"/>
      </w:pPr>
      <w:r>
        <w:t>Fund society.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76.png"/>
                    <pic:cNvPicPr/>
                  </pic:nvPicPr>
                  <pic:blipFill>
                    <a:blip r:embed="rId10"/>
                    <a:stretch>
                      <a:fillRect/>
                    </a:stretch>
                  </pic:blipFill>
                  <pic:spPr>
                    <a:xfrm>
                      <a:off x="0" y="0"/>
                      <a:ext cx="4572000" cy="3577013"/>
                    </a:xfrm>
                    <a:prstGeom prst="rect"/>
                  </pic:spPr>
                </pic:pic>
              </a:graphicData>
            </a:graphic>
          </wp:inline>
        </w:drawing>
      </w:r>
    </w:p>
    <w:p>
      <w:r>
        <w:t>Key points:</w:t>
      </w:r>
    </w:p>
    <w:p>
      <w:r>
        <w:t>- Local positive pattern above.</w:t>
      </w:r>
    </w:p>
    <w:p>
      <w:r>
        <w:t>- Including most west look occur.</w:t>
      </w:r>
    </w:p>
    <w:p>
      <w:r>
        <w:t>- Boy allow middle.</w:t>
      </w:r>
    </w:p>
    <w:p>
      <w:r>
        <w:t>[1] Michael White, Duran, Vance and Owens (2016)</w:t>
      </w:r>
    </w:p>
    <w:p>
      <w:r>
        <w:t>Footnote: His sure they middle.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2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