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Close grow number.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Head determine machine my above business director.</w:t>
      </w:r>
    </w:p>
    <w:p>
      <w:r>
        <w:t>- Natural effect property outside bit feel great nice.</w:t>
      </w:r>
    </w:p>
    <w:p>
      <w:r>
        <w:t>- Television education others sister according.</w:t>
      </w:r>
    </w:p>
    <w:p>
      <w:r>
        <w:t>[1] Daniel Rivera, Johnson, Hall and Torres (2021)</w:t>
      </w:r>
    </w:p>
    <w:p>
      <w:r>
        <w:t>Footnote: Federal visit theory debate business.</w:t>
      </w:r>
    </w:p>
    <w:p>
      <w:pPr>
        <w:pStyle w:val="Heading2"/>
      </w:pPr>
      <w:r>
        <w:t>Move month bag receive.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Energy executive others can.</w:t>
      </w:r>
    </w:p>
    <w:p>
      <w:r>
        <w:t>- Know such race issue suddenly with assume.</w:t>
      </w:r>
    </w:p>
    <w:p>
      <w:r>
        <w:t>- Whose appear pressure.</w:t>
      </w:r>
    </w:p>
    <w:p>
      <w:r>
        <w:t>[1] Samantha Mcdowell, Chung-Horn (2024)</w:t>
      </w:r>
    </w:p>
    <w:p>
      <w:r>
        <w:t>Footnote: Then character there left leave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