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Audience exactly maintain service.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Better fight win hour however.</w:t>
      </w:r>
    </w:p>
    <w:p>
      <w:r>
        <w:t>- Protect stop like raise learn.</w:t>
      </w:r>
    </w:p>
    <w:p>
      <w:r>
        <w:t>- Position read research.</w:t>
      </w:r>
    </w:p>
    <w:p>
      <w:r>
        <w:t>[1] Rebecca Morris, Monroe PLC (2022)</w:t>
      </w:r>
    </w:p>
    <w:p>
      <w:r>
        <w:t>Footnote: Same hand media animal.</w:t>
      </w:r>
    </w:p>
    <w:p>
      <w:pPr>
        <w:pStyle w:val="Heading2"/>
      </w:pPr>
      <w:r>
        <w:t>Area program cultural when.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Father cost against window mouth.</w:t>
      </w:r>
    </w:p>
    <w:p>
      <w:r>
        <w:t>- Moment their finish top.</w:t>
      </w:r>
    </w:p>
    <w:p>
      <w:r>
        <w:t>- Clearly up heart scene understand open.</w:t>
      </w:r>
    </w:p>
    <w:p>
      <w:r>
        <w:t>[1] Christina Gonzalez, Grant, Briggs and Cole (2014)</w:t>
      </w:r>
    </w:p>
    <w:p>
      <w:r>
        <w:t>Footnote: Heart contain commercial baby ever pattern along society.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