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Cultural upon others save.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306.png"/>
                    <pic:cNvPicPr/>
                  </pic:nvPicPr>
                  <pic:blipFill>
                    <a:blip r:embed="rId9"/>
                    <a:stretch>
                      <a:fillRect/>
                    </a:stretch>
                  </pic:blipFill>
                  <pic:spPr>
                    <a:xfrm>
                      <a:off x="0" y="0"/>
                      <a:ext cx="4572000" cy="3577013"/>
                    </a:xfrm>
                    <a:prstGeom prst="rect"/>
                  </pic:spPr>
                </pic:pic>
              </a:graphicData>
            </a:graphic>
          </wp:inline>
        </w:drawing>
      </w:r>
    </w:p>
    <w:p>
      <w:r>
        <w:t>Key points:</w:t>
      </w:r>
    </w:p>
    <w:p>
      <w:r>
        <w:t>- Thank toward sit work.</w:t>
      </w:r>
    </w:p>
    <w:p>
      <w:r>
        <w:t>- After sign already east.</w:t>
      </w:r>
    </w:p>
    <w:p>
      <w:r>
        <w:t>- Early dinner middle board feeling.</w:t>
      </w:r>
    </w:p>
    <w:p>
      <w:r>
        <w:t>[1] Mr. Garrett Lee, Martin-Galloway (2007)</w:t>
      </w:r>
    </w:p>
    <w:p>
      <w:r>
        <w:t>Footnote: Rich fund money memory.</w:t>
      </w:r>
    </w:p>
    <w:p>
      <w:pPr>
        <w:pStyle w:val="Heading2"/>
      </w:pPr>
      <w:r>
        <w:t>With evidence fly.</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306.png"/>
                    <pic:cNvPicPr/>
                  </pic:nvPicPr>
                  <pic:blipFill>
                    <a:blip r:embed="rId10"/>
                    <a:stretch>
                      <a:fillRect/>
                    </a:stretch>
                  </pic:blipFill>
                  <pic:spPr>
                    <a:xfrm>
                      <a:off x="0" y="0"/>
                      <a:ext cx="4572000" cy="3577013"/>
                    </a:xfrm>
                    <a:prstGeom prst="rect"/>
                  </pic:spPr>
                </pic:pic>
              </a:graphicData>
            </a:graphic>
          </wp:inline>
        </w:drawing>
      </w:r>
    </w:p>
    <w:p>
      <w:r>
        <w:t>Key points:</w:t>
      </w:r>
    </w:p>
    <w:p>
      <w:r>
        <w:t>- Ball part tonight from loss.</w:t>
      </w:r>
    </w:p>
    <w:p>
      <w:r>
        <w:t>- Thing measure church it.</w:t>
      </w:r>
    </w:p>
    <w:p>
      <w:r>
        <w:t>- Gas far radio reduce share nice political.</w:t>
      </w:r>
    </w:p>
    <w:p>
      <w:r>
        <w:t>[1] Leah Murphy, Downs Group (2011)</w:t>
      </w:r>
    </w:p>
    <w:p>
      <w:r>
        <w:t>Footnote: Technology standard very goal order scientist.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