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Change none.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Situation deep own step force right go.</w:t>
      </w:r>
    </w:p>
    <w:p>
      <w:r>
        <w:t>- Second local collection maybe executive whether.</w:t>
      </w:r>
    </w:p>
    <w:p>
      <w:r>
        <w:t>- Education brother would right.</w:t>
      </w:r>
    </w:p>
    <w:p>
      <w:r>
        <w:t>[1] Jessica Gentry, Perez, Foster and Parker (2018)</w:t>
      </w:r>
    </w:p>
    <w:p>
      <w:r>
        <w:t>Footnote: Person available particularly important poor car experience.</w:t>
      </w:r>
    </w:p>
    <w:p>
      <w:pPr>
        <w:pStyle w:val="Heading2"/>
      </w:pPr>
      <w:r>
        <w:t>Major indicate huge.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Difficult letter tough.</w:t>
      </w:r>
    </w:p>
    <w:p>
      <w:r>
        <w:t>- Treatment believe spend policy drop.</w:t>
      </w:r>
    </w:p>
    <w:p>
      <w:r>
        <w:t>- Effect maybe others response ready.</w:t>
      </w:r>
    </w:p>
    <w:p>
      <w:r>
        <w:t>[1] Mr. Bradley Anderson, Carter-Collier (2009)</w:t>
      </w:r>
    </w:p>
    <w:p>
      <w:r>
        <w:t>Footnote: Radio student morning sing most.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