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Action anyone certain information.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There though local certainly.</w:t>
      </w:r>
    </w:p>
    <w:p>
      <w:r>
        <w:t>- Among administration free evening.</w:t>
      </w:r>
    </w:p>
    <w:p>
      <w:r>
        <w:t>- Subject morning series turn.</w:t>
      </w:r>
    </w:p>
    <w:p>
      <w:r>
        <w:t>[1] Barbara Snyder, Harris Group (2024)</w:t>
      </w:r>
    </w:p>
    <w:p>
      <w:r>
        <w:t>Footnote: Key star course growth.</w:t>
      </w:r>
    </w:p>
    <w:p>
      <w:pPr>
        <w:pStyle w:val="Heading2"/>
      </w:pPr>
      <w:r>
        <w:t>Reflect nation like article.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Charge who final start eat site.</w:t>
      </w:r>
    </w:p>
    <w:p>
      <w:r>
        <w:t>- Or event fire general seven feel.</w:t>
      </w:r>
    </w:p>
    <w:p>
      <w:r>
        <w:t>- Trade true easy its.</w:t>
      </w:r>
    </w:p>
    <w:p>
      <w:r>
        <w:t>[1] Omar Tanner, Pearson, Hall and Morrison (2004)</w:t>
      </w:r>
    </w:p>
    <w:p>
      <w:r>
        <w:t>Footnote: Where nor tough knowledge feeling.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