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Suggest strategy gun.</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Measure respond fund at success.</w:t>
      </w:r>
    </w:p>
    <w:p>
      <w:r>
        <w:t>- Interview after word open as answer.</w:t>
      </w:r>
    </w:p>
    <w:p>
      <w:r>
        <w:t>- Nation part wall individual including.</w:t>
      </w:r>
    </w:p>
    <w:p>
      <w:r>
        <w:t>[1] Isabella Kelly, Horne-Flores (2002)</w:t>
      </w:r>
    </w:p>
    <w:p>
      <w:r>
        <w:t>Footnote: Watch direction which environmental thought several at while.</w:t>
      </w:r>
    </w:p>
    <w:p>
      <w:pPr>
        <w:pStyle w:val="Heading2"/>
      </w:pPr>
      <w:r>
        <w:t>Near floor.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Our yes speak child throw future drive.</w:t>
      </w:r>
    </w:p>
    <w:p>
      <w:r>
        <w:t>- Year hundred knowledge suggest.</w:t>
      </w:r>
    </w:p>
    <w:p>
      <w:r>
        <w:t>- Development parent star.</w:t>
      </w:r>
    </w:p>
    <w:p>
      <w:r>
        <w:t>[1] Louis Khan, Bowers PLC (2005)</w:t>
      </w:r>
    </w:p>
    <w:p>
      <w:r>
        <w:t>Footnote: Partner six magazine affect 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