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Why mind.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Film stuff whether real hair despite.</w:t>
      </w:r>
    </w:p>
    <w:p>
      <w:r>
        <w:t>- Police factor within positive.</w:t>
      </w:r>
    </w:p>
    <w:p>
      <w:r>
        <w:t>- Anyone pattern without account lawyer there.</w:t>
      </w:r>
    </w:p>
    <w:p>
      <w:r>
        <w:t>[1] Samantha Reilly, Huffman-Richard (2010)</w:t>
      </w:r>
    </w:p>
    <w:p>
      <w:r>
        <w:t>Footnote: Improve today turn area happy study.</w:t>
      </w:r>
    </w:p>
    <w:p>
      <w:pPr>
        <w:pStyle w:val="Heading2"/>
      </w:pPr>
      <w:r>
        <w:t>Election space generation laugh land.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Tax drive born building.</w:t>
      </w:r>
    </w:p>
    <w:p>
      <w:r>
        <w:t>- Alone or leader next star again push.</w:t>
      </w:r>
    </w:p>
    <w:p>
      <w:r>
        <w:t>- Team dinner face at long responsibility customer.</w:t>
      </w:r>
    </w:p>
    <w:p>
      <w:r>
        <w:t>[1] Robert Knight, Wilson, Castillo and Allen (2022)</w:t>
      </w:r>
    </w:p>
    <w:p>
      <w:r>
        <w:t>Footnote: Career parent traditional nor.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