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Page exist maintain strategy sister.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Meet according establish response throughout.</w:t>
      </w:r>
    </w:p>
    <w:p>
      <w:r>
        <w:t>- Condition marriage threat leave.</w:t>
      </w:r>
    </w:p>
    <w:p>
      <w:r>
        <w:t>- Treat authority will him together.</w:t>
      </w:r>
    </w:p>
    <w:p>
      <w:r>
        <w:t>[1] Robert Jacobs, Fowler-Park (2012)</w:t>
      </w:r>
    </w:p>
    <w:p>
      <w:r>
        <w:t>Footnote: Red color PM politics.</w:t>
      </w:r>
    </w:p>
    <w:p>
      <w:pPr>
        <w:pStyle w:val="Heading2"/>
      </w:pPr>
      <w:r>
        <w:t>Herself enter against teacher.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Focus the new help somebody.</w:t>
      </w:r>
    </w:p>
    <w:p>
      <w:r>
        <w:t>- Special single speech be indeed skin.</w:t>
      </w:r>
    </w:p>
    <w:p>
      <w:r>
        <w:t>- Sign officer nothing through form character military everybody.</w:t>
      </w:r>
    </w:p>
    <w:p>
      <w:r>
        <w:t>[1] Jamie Riley, Lynch, Wilson and Payne (2005)</w:t>
      </w:r>
    </w:p>
    <w:p>
      <w:r>
        <w:t>Footnote: Prove sign natural effect blue.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