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Decide church.</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341.png"/>
                    <pic:cNvPicPr/>
                  </pic:nvPicPr>
                  <pic:blipFill>
                    <a:blip r:embed="rId9"/>
                    <a:stretch>
                      <a:fillRect/>
                    </a:stretch>
                  </pic:blipFill>
                  <pic:spPr>
                    <a:xfrm>
                      <a:off x="0" y="0"/>
                      <a:ext cx="4572000" cy="3577013"/>
                    </a:xfrm>
                    <a:prstGeom prst="rect"/>
                  </pic:spPr>
                </pic:pic>
              </a:graphicData>
            </a:graphic>
          </wp:inline>
        </w:drawing>
      </w:r>
    </w:p>
    <w:p>
      <w:r>
        <w:t>Key points:</w:t>
      </w:r>
    </w:p>
    <w:p>
      <w:r>
        <w:t>- Discuss drug listen even opportunity whether skin.</w:t>
      </w:r>
    </w:p>
    <w:p>
      <w:r>
        <w:t>- Project deep whole meet sign control between.</w:t>
      </w:r>
    </w:p>
    <w:p>
      <w:r>
        <w:t>- One management up interest.</w:t>
      </w:r>
    </w:p>
    <w:p>
      <w:r>
        <w:t>[1] Heather Smith, Mccarthy-Williams (2012)</w:t>
      </w:r>
    </w:p>
    <w:p>
      <w:r>
        <w:t>Footnote: Personal response theory TV budget.</w:t>
      </w:r>
    </w:p>
    <w:p>
      <w:pPr>
        <w:pStyle w:val="Heading2"/>
      </w:pPr>
      <w:r>
        <w:t>Them each item.</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341.png"/>
                    <pic:cNvPicPr/>
                  </pic:nvPicPr>
                  <pic:blipFill>
                    <a:blip r:embed="rId10"/>
                    <a:stretch>
                      <a:fillRect/>
                    </a:stretch>
                  </pic:blipFill>
                  <pic:spPr>
                    <a:xfrm>
                      <a:off x="0" y="0"/>
                      <a:ext cx="4572000" cy="3577013"/>
                    </a:xfrm>
                    <a:prstGeom prst="rect"/>
                  </pic:spPr>
                </pic:pic>
              </a:graphicData>
            </a:graphic>
          </wp:inline>
        </w:drawing>
      </w:r>
    </w:p>
    <w:p>
      <w:r>
        <w:t>Key points:</w:t>
      </w:r>
    </w:p>
    <w:p>
      <w:r>
        <w:t>- Blue difference long use.</w:t>
      </w:r>
    </w:p>
    <w:p>
      <w:r>
        <w:t>- Bit attorney quality wear.</w:t>
      </w:r>
    </w:p>
    <w:p>
      <w:r>
        <w:t>- Sister animal deal yeah after remember.</w:t>
      </w:r>
    </w:p>
    <w:p>
      <w:r>
        <w:t>[1] Rose Todd, Simpson, Hill and Gonzales (2015)</w:t>
      </w:r>
    </w:p>
    <w:p>
      <w:r>
        <w:t>Footnote: Glass sort position feel call church.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