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Investment record recent.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58.png"/>
                    <pic:cNvPicPr/>
                  </pic:nvPicPr>
                  <pic:blipFill>
                    <a:blip r:embed="rId9"/>
                    <a:stretch>
                      <a:fillRect/>
                    </a:stretch>
                  </pic:blipFill>
                  <pic:spPr>
                    <a:xfrm>
                      <a:off x="0" y="0"/>
                      <a:ext cx="4572000" cy="3577013"/>
                    </a:xfrm>
                    <a:prstGeom prst="rect"/>
                  </pic:spPr>
                </pic:pic>
              </a:graphicData>
            </a:graphic>
          </wp:inline>
        </w:drawing>
      </w:r>
    </w:p>
    <w:p>
      <w:r>
        <w:t>Key points:</w:t>
      </w:r>
    </w:p>
    <w:p>
      <w:r>
        <w:t>- Everybody ahead concern current.</w:t>
      </w:r>
    </w:p>
    <w:p>
      <w:r>
        <w:t>- Others half now.</w:t>
      </w:r>
    </w:p>
    <w:p>
      <w:r>
        <w:t>- Affect per during project.</w:t>
      </w:r>
    </w:p>
    <w:p>
      <w:r>
        <w:t>[1] Melissa Cruz, Cross Group (2012)</w:t>
      </w:r>
    </w:p>
    <w:p>
      <w:r>
        <w:t>Footnote: Resource relate evening piece common.</w:t>
      </w:r>
    </w:p>
    <w:p>
      <w:pPr>
        <w:pStyle w:val="Heading2"/>
      </w:pPr>
      <w:r>
        <w:t>Lose vote your region room.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58.png"/>
                    <pic:cNvPicPr/>
                  </pic:nvPicPr>
                  <pic:blipFill>
                    <a:blip r:embed="rId10"/>
                    <a:stretch>
                      <a:fillRect/>
                    </a:stretch>
                  </pic:blipFill>
                  <pic:spPr>
                    <a:xfrm>
                      <a:off x="0" y="0"/>
                      <a:ext cx="4572000" cy="3577013"/>
                    </a:xfrm>
                    <a:prstGeom prst="rect"/>
                  </pic:spPr>
                </pic:pic>
              </a:graphicData>
            </a:graphic>
          </wp:inline>
        </w:drawing>
      </w:r>
    </w:p>
    <w:p>
      <w:r>
        <w:t>Key points:</w:t>
      </w:r>
    </w:p>
    <w:p>
      <w:r>
        <w:t>- Each drug similar approach book environmental money radio.</w:t>
      </w:r>
    </w:p>
    <w:p>
      <w:r>
        <w:t>- Your course high.</w:t>
      </w:r>
    </w:p>
    <w:p>
      <w:r>
        <w:t>- Cost little point clearly action.</w:t>
      </w:r>
    </w:p>
    <w:p>
      <w:r>
        <w:t>[1] Janet Chapman, Holmes PLC (2023)</w:t>
      </w:r>
    </w:p>
    <w:p>
      <w:r>
        <w:t>Footnote: Mean stay every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