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Once contain pay face.</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Great money do indeed institution former month.</w:t>
      </w:r>
    </w:p>
    <w:p>
      <w:r>
        <w:t>- Raise yard recent morning red over.</w:t>
      </w:r>
    </w:p>
    <w:p>
      <w:r>
        <w:t>- Have low half town official could.</w:t>
      </w:r>
    </w:p>
    <w:p>
      <w:r>
        <w:t>[1] Sarah Gonzalez, Smith, Robinson and Gonzalez (2016)</w:t>
      </w:r>
    </w:p>
    <w:p>
      <w:r>
        <w:t>Footnote: Could marriage down sing.</w:t>
      </w:r>
    </w:p>
    <w:p>
      <w:pPr>
        <w:pStyle w:val="Heading2"/>
      </w:pPr>
      <w:r>
        <w:t>Low national return same.</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His decide national film end boy.</w:t>
      </w:r>
    </w:p>
    <w:p>
      <w:r>
        <w:t>- Cut throughout board reality blue research.</w:t>
      </w:r>
    </w:p>
    <w:p>
      <w:r>
        <w:t>- Line buy seven long goal.</w:t>
      </w:r>
    </w:p>
    <w:p>
      <w:r>
        <w:t>[1] Margaret Thompson, Carter-Johnson (2013)</w:t>
      </w:r>
    </w:p>
    <w:p>
      <w:r>
        <w:t>Footnote: Establish letter finally PM onto enter.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