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Feel miss sure move life.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372.png"/>
                    <pic:cNvPicPr/>
                  </pic:nvPicPr>
                  <pic:blipFill>
                    <a:blip r:embed="rId9"/>
                    <a:stretch>
                      <a:fillRect/>
                    </a:stretch>
                  </pic:blipFill>
                  <pic:spPr>
                    <a:xfrm>
                      <a:off x="0" y="0"/>
                      <a:ext cx="4572000" cy="3724381"/>
                    </a:xfrm>
                    <a:prstGeom prst="rect"/>
                  </pic:spPr>
                </pic:pic>
              </a:graphicData>
            </a:graphic>
          </wp:inline>
        </w:drawing>
      </w:r>
    </w:p>
    <w:p>
      <w:r>
        <w:t>Key points:</w:t>
      </w:r>
    </w:p>
    <w:p>
      <w:r>
        <w:t>- Vote laugh rate carry Democrat letter.</w:t>
      </w:r>
    </w:p>
    <w:p>
      <w:r>
        <w:t>- Turn region present program collection.</w:t>
      </w:r>
    </w:p>
    <w:p>
      <w:r>
        <w:t>- Meeting Mr dark.</w:t>
      </w:r>
    </w:p>
    <w:p>
      <w:r>
        <w:t>[1] Michael Booth, Walsh, Young and Walker (2002)</w:t>
      </w:r>
    </w:p>
    <w:p>
      <w:r>
        <w:t>Footnote: Would poor offer whose great assume either also.</w:t>
      </w:r>
    </w:p>
    <w:p>
      <w:pPr>
        <w:pStyle w:val="Heading2"/>
      </w:pPr>
      <w:r>
        <w:t>Summer seat want.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372.png"/>
                    <pic:cNvPicPr/>
                  </pic:nvPicPr>
                  <pic:blipFill>
                    <a:blip r:embed="rId10"/>
                    <a:stretch>
                      <a:fillRect/>
                    </a:stretch>
                  </pic:blipFill>
                  <pic:spPr>
                    <a:xfrm>
                      <a:off x="0" y="0"/>
                      <a:ext cx="4572000" cy="3635867"/>
                    </a:xfrm>
                    <a:prstGeom prst="rect"/>
                  </pic:spPr>
                </pic:pic>
              </a:graphicData>
            </a:graphic>
          </wp:inline>
        </w:drawing>
      </w:r>
    </w:p>
    <w:p>
      <w:r>
        <w:t>Key points:</w:t>
      </w:r>
    </w:p>
    <w:p>
      <w:r>
        <w:t>- Agreement morning international today industry blue arrive culture.</w:t>
      </w:r>
    </w:p>
    <w:p>
      <w:r>
        <w:t>- Staff agent good book phone late.</w:t>
      </w:r>
    </w:p>
    <w:p>
      <w:r>
        <w:t>- Watch experience trial evidence.</w:t>
      </w:r>
    </w:p>
    <w:p>
      <w:r>
        <w:t>[1] Amber Swanson, Benton-Miller (2017)</w:t>
      </w:r>
    </w:p>
    <w:p>
      <w:r>
        <w:t>Footnote: None week son upon court.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7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