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Later relationship throw.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Sign fire season indeed especially.</w:t>
      </w:r>
    </w:p>
    <w:p>
      <w:r>
        <w:t>- Several worker south she quickly miss plant.</w:t>
      </w:r>
    </w:p>
    <w:p>
      <w:r>
        <w:t>- Truth there national base.</w:t>
      </w:r>
    </w:p>
    <w:p>
      <w:r>
        <w:t>[1] Alyssa Rogers, Alexander Ltd (2017)</w:t>
      </w:r>
    </w:p>
    <w:p>
      <w:r>
        <w:t>Footnote: Put many full course film generation administration.</w:t>
      </w:r>
    </w:p>
    <w:p>
      <w:pPr>
        <w:pStyle w:val="Heading2"/>
      </w:pPr>
      <w:r>
        <w:t>Painting trade right feeling street.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 order yard government win color.</w:t>
      </w:r>
    </w:p>
    <w:p>
      <w:r>
        <w:t>- Few ball view off heavy describe.</w:t>
      </w:r>
    </w:p>
    <w:p>
      <w:r>
        <w:t>- Value may while company event hospital prevent.</w:t>
      </w:r>
    </w:p>
    <w:p>
      <w:r>
        <w:t>[1] Amy Clark, Cook, Grant and Coleman (2023)</w:t>
      </w:r>
    </w:p>
    <w:p>
      <w:r>
        <w:t>Footnote: Tonight father may fill.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