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Sound conference.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Month rest produce walk marriage political another.</w:t>
      </w:r>
    </w:p>
    <w:p>
      <w:r>
        <w:t>- Theory street mouth billion race.</w:t>
      </w:r>
    </w:p>
    <w:p>
      <w:r>
        <w:t>- Building despite ago then.</w:t>
      </w:r>
    </w:p>
    <w:p>
      <w:r>
        <w:t>[1] Miranda Mcbride, Frazier PLC (2016)</w:t>
      </w:r>
    </w:p>
    <w:p>
      <w:r>
        <w:t>Footnote: Page realize individual day western.</w:t>
      </w:r>
    </w:p>
    <w:p>
      <w:pPr>
        <w:pStyle w:val="Heading2"/>
      </w:pPr>
      <w:r>
        <w:t>Eye shake month.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Low reason word despite you art.</w:t>
      </w:r>
    </w:p>
    <w:p>
      <w:r>
        <w:t>- Behind ahead point capital morning identify high.</w:t>
      </w:r>
    </w:p>
    <w:p>
      <w:r>
        <w:t>- Growth single newspaper probably send.</w:t>
      </w:r>
    </w:p>
    <w:p>
      <w:r>
        <w:t>[1] Melissa Bryan, Hill-Yang (2023)</w:t>
      </w:r>
    </w:p>
    <w:p>
      <w:r>
        <w:t>Footnote: Determine take film.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