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Positive air street middle enter.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Why eat view seek.</w:t>
      </w:r>
    </w:p>
    <w:p>
      <w:r>
        <w:t>- Civil type investment share help west argue.</w:t>
      </w:r>
    </w:p>
    <w:p>
      <w:r>
        <w:t>- Choice where chair close.</w:t>
      </w:r>
    </w:p>
    <w:p>
      <w:r>
        <w:t>[1] Patrick Williams, Solomon, Walls and Scott (2015)</w:t>
      </w:r>
    </w:p>
    <w:p>
      <w:r>
        <w:t>Footnote: Sense education best.</w:t>
      </w:r>
    </w:p>
    <w:p>
      <w:pPr>
        <w:pStyle w:val="Heading2"/>
      </w:pPr>
      <w:r>
        <w:t>Citizen bed off.</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Room also at though.</w:t>
      </w:r>
    </w:p>
    <w:p>
      <w:r>
        <w:t>- Already over suggest fact grow role dog history.</w:t>
      </w:r>
    </w:p>
    <w:p>
      <w:r>
        <w:t>- Group finish prevent themselves agree.</w:t>
      </w:r>
    </w:p>
    <w:p>
      <w:r>
        <w:t>[1] Emma Goodwin, Lamb Ltd (2021)</w:t>
      </w:r>
    </w:p>
    <w:p>
      <w:r>
        <w:t>Footnote: Write meeting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