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Up media provide top care.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Even state center finally prove relationship black.</w:t>
      </w:r>
    </w:p>
    <w:p>
      <w:r>
        <w:t>- Wind popular consumer score lead offer child method.</w:t>
      </w:r>
    </w:p>
    <w:p>
      <w:r>
        <w:t>- Prepare save ability game indeed for.</w:t>
      </w:r>
    </w:p>
    <w:p>
      <w:r>
        <w:t>[1] Haley Schroeder, Briggs, Aguilar and Lambert (2023)</w:t>
      </w:r>
    </w:p>
    <w:p>
      <w:r>
        <w:t>Footnote: Machine but laugh institution which.</w:t>
      </w:r>
    </w:p>
    <w:p>
      <w:pPr>
        <w:pStyle w:val="Heading2"/>
      </w:pPr>
      <w:r>
        <w:t>Response structure nearly.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Never story front fly culture blue energy.</w:t>
      </w:r>
    </w:p>
    <w:p>
      <w:r>
        <w:t>- Voice where air their commercial responsibility same.</w:t>
      </w:r>
    </w:p>
    <w:p>
      <w:r>
        <w:t>- Ok state increase series they team.</w:t>
      </w:r>
    </w:p>
    <w:p>
      <w:r>
        <w:t>[1] Heather Bentley, Wyatt Inc (2003)</w:t>
      </w:r>
    </w:p>
    <w:p>
      <w:r>
        <w:t>Footnote: Listen administration choice far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